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3"/>
        <w:spacing w:after="120" w:before="400" w:line="276" w:lineRule="auto"/>
        <w:jc w:val="center"/>
        <w:rPr>
          <w:rFonts w:ascii="Times New Roman" w:cs="Times New Roman" w:eastAsia="Times New Roman" w:hAnsi="Times New Roman"/>
          <w:b w:val="1"/>
          <w:color w:val="0000ff"/>
          <w:sz w:val="38"/>
          <w:szCs w:val="38"/>
        </w:rPr>
      </w:pPr>
      <w:bookmarkStart w:colFirst="0" w:colLast="0" w:name="_1j0b2n37c1th" w:id="0"/>
      <w:bookmarkEnd w:id="0"/>
      <w:r w:rsidDel="00000000" w:rsidR="00000000" w:rsidRPr="00000000">
        <w:rPr>
          <w:rFonts w:ascii="Times New Roman" w:cs="Times New Roman" w:eastAsia="Times New Roman" w:hAnsi="Times New Roman"/>
          <w:b w:val="1"/>
          <w:color w:val="0000ff"/>
          <w:sz w:val="38"/>
          <w:szCs w:val="38"/>
          <w:rtl w:val="0"/>
        </w:rPr>
        <w:t xml:space="preserve">LEGO® WeDo® 2.0</w:t>
      </w:r>
      <w:r w:rsidDel="00000000" w:rsidR="00000000" w:rsidRPr="00000000">
        <w:drawing>
          <wp:anchor allowOverlap="1" behindDoc="0" distB="114300" distT="114300" distL="114300" distR="114300" hidden="0" layoutInCell="1" locked="0" relativeHeight="0" simplePos="0">
            <wp:simplePos x="0" y="0"/>
            <wp:positionH relativeFrom="column">
              <wp:posOffset>1388362</wp:posOffset>
            </wp:positionH>
            <wp:positionV relativeFrom="paragraph">
              <wp:posOffset>609600</wp:posOffset>
            </wp:positionV>
            <wp:extent cx="3342413" cy="3342413"/>
            <wp:effectExtent b="0" l="0" r="0" t="0"/>
            <wp:wrapNone/>
            <wp:docPr id="5"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3342413" cy="3342413"/>
                    </a:xfrm>
                    <a:prstGeom prst="rect"/>
                    <a:ln/>
                  </pic:spPr>
                </pic:pic>
              </a:graphicData>
            </a:graphic>
          </wp:anchor>
        </w:drawing>
      </w:r>
    </w:p>
    <w:p w:rsidR="00000000" w:rsidDel="00000000" w:rsidP="00000000" w:rsidRDefault="00000000" w:rsidRPr="00000000" w14:paraId="00000002">
      <w:pPr>
        <w:pStyle w:val="Heading3"/>
        <w:spacing w:after="120" w:before="400" w:line="276" w:lineRule="auto"/>
        <w:jc w:val="center"/>
        <w:rPr>
          <w:rFonts w:ascii="Times New Roman" w:cs="Times New Roman" w:eastAsia="Times New Roman" w:hAnsi="Times New Roman"/>
          <w:color w:val="000000"/>
          <w:sz w:val="24"/>
          <w:szCs w:val="24"/>
        </w:rPr>
      </w:pPr>
      <w:bookmarkStart w:colFirst="0" w:colLast="0" w:name="_1fob9te" w:id="1"/>
      <w:bookmarkEnd w:id="1"/>
      <w:r w:rsidDel="00000000" w:rsidR="00000000" w:rsidRPr="00000000">
        <w:rPr>
          <w:rtl w:val="0"/>
        </w:rPr>
      </w:r>
    </w:p>
    <w:tbl>
      <w:tblPr>
        <w:tblStyle w:val="Table1"/>
        <w:tblW w:w="9450.0" w:type="dxa"/>
        <w:jc w:val="center"/>
        <w:tblLayout w:type="fixed"/>
        <w:tblLook w:val="0400"/>
      </w:tblPr>
      <w:tblGrid>
        <w:gridCol w:w="1560"/>
        <w:gridCol w:w="7890"/>
        <w:tblGridChange w:id="0">
          <w:tblGrid>
            <w:gridCol w:w="1560"/>
            <w:gridCol w:w="7890"/>
          </w:tblGrid>
        </w:tblGridChange>
      </w:tblGrid>
      <w:tr>
        <w:trPr>
          <w:cantSplit w:val="0"/>
          <w:trHeight w:val="5862.714843750001" w:hRule="atLeast"/>
          <w:tblHeader w:val="0"/>
        </w:trPr>
        <w:tc>
          <w:tcPr>
            <w:tcMar>
              <w:top w:w="100.0" w:type="dxa"/>
              <w:left w:w="100.0" w:type="dxa"/>
              <w:bottom w:w="100.0" w:type="dxa"/>
              <w:right w:w="100.0" w:type="dxa"/>
            </w:tcMar>
          </w:tcPr>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Particularități de vârstă:</w:t>
            </w:r>
          </w:p>
        </w:tc>
        <w:tc>
          <w:tcPr>
            <w:tcMar>
              <w:top w:w="100.0" w:type="dxa"/>
              <w:left w:w="100.0" w:type="dxa"/>
              <w:bottom w:w="100.0" w:type="dxa"/>
              <w:right w:w="100.0" w:type="dxa"/>
            </w:tcMar>
          </w:tcPr>
          <w:p w:rsidR="00000000" w:rsidDel="00000000" w:rsidP="00000000" w:rsidRDefault="00000000" w:rsidRPr="00000000" w14:paraId="0000001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Treapta primară, treapta gimnazială</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Descrierea tehnică:</w:t>
            </w:r>
          </w:p>
          <w:p w:rsidR="00000000" w:rsidDel="00000000" w:rsidP="00000000" w:rsidRDefault="00000000" w:rsidRPr="00000000" w14:paraId="0000002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Abilități cheie de învățare</w:t>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 set se bazează pe cele mai noi standarde științifice și a fost creat pentru a spori curiozitatea elevilor și abilitățile științifice. Setul este livrat într-un coș de depozitare împreună cu tăvi de sortare, etichete, un Smart Hub, un motor mediu, senzor de mișcare, un senzor de înclinare și suficiente elemente (280 de piese) de construcție recomandabil pentru doi elevi. </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hd w:fill="ffffff" w:val="clea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Software-ul  WeDo 2.0 oferă o platformă excelentă pentru învățarea științelor, oferind elevilor o modalitate inovatoare de a modela realitatea, de a efectua investigații și de a folosi abilitățile de proiectare.</w:t>
            </w:r>
            <w:r w:rsidDel="00000000" w:rsidR="00000000" w:rsidRPr="00000000">
              <w:rPr>
                <w:rtl w:val="0"/>
              </w:rPr>
            </w:r>
          </w:p>
          <w:p w:rsidR="00000000" w:rsidDel="00000000" w:rsidP="00000000" w:rsidRDefault="00000000" w:rsidRPr="00000000" w14:paraId="0000003B">
            <w:pPr>
              <w:shd w:fill="ffffff" w:val="clea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Software-ul WeDo 2.0 propune programarea într-un mod intuitiv,  permițându-le elevilor să-și aducă creațiile la  viață,  în timp ce-și dezvoltă  abilitățile de gândire computațională precum și raționamentul logic, recunoașterea modelului și simulările de modelare.  Software-ul oferă, de asemenea, o interfață colorată de „drag and drop”, care este ușor de utilizat și înțeles de către elevi.</w:t>
            </w:r>
          </w:p>
          <w:p w:rsidR="00000000" w:rsidDel="00000000" w:rsidP="00000000" w:rsidRDefault="00000000" w:rsidRPr="00000000" w14:paraId="0000003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02122"/>
                <w:sz w:val="24"/>
                <w:szCs w:val="24"/>
                <w:highlight w:val="white"/>
                <w:rtl w:val="0"/>
              </w:rPr>
              <w:t xml:space="preserve">O prezentare generală a seturilor de bază și resurse Lego WeDo este disponibilă </w:t>
            </w:r>
            <w:hyperlink r:id="rId7">
              <w:r w:rsidDel="00000000" w:rsidR="00000000" w:rsidRPr="00000000">
                <w:rPr>
                  <w:rFonts w:ascii="Times New Roman" w:cs="Times New Roman" w:eastAsia="Times New Roman" w:hAnsi="Times New Roman"/>
                  <w:b w:val="1"/>
                  <w:color w:val="1155cc"/>
                  <w:sz w:val="24"/>
                  <w:szCs w:val="24"/>
                  <w:highlight w:val="white"/>
                  <w:u w:val="single"/>
                  <w:rtl w:val="0"/>
                </w:rPr>
                <w:t xml:space="preserve">aici.</w:t>
              </w:r>
            </w:hyperlink>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Proiecte de lecții care ulterior pot fi adaptate la realitatea noastră le găsiți </w:t>
            </w:r>
            <w:hyperlink r:id="rId8">
              <w:r w:rsidDel="00000000" w:rsidR="00000000" w:rsidRPr="00000000">
                <w:rPr>
                  <w:rFonts w:ascii="Times New Roman" w:cs="Times New Roman" w:eastAsia="Times New Roman" w:hAnsi="Times New Roman"/>
                  <w:b w:val="1"/>
                  <w:color w:val="1155cc"/>
                  <w:sz w:val="24"/>
                  <w:szCs w:val="24"/>
                  <w:u w:val="single"/>
                  <w:rtl w:val="0"/>
                </w:rPr>
                <w:t xml:space="preserve">aici</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03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sz w:val="24"/>
                <w:szCs w:val="24"/>
                <w:rtl w:val="0"/>
              </w:rPr>
              <w:t xml:space="preserve">Programarea modelelor Lego WeDo 2.0 folosind interfața grafică, dezvoltarea gândirii logice și capacitatea de a crea secvențe de acțiuni, punerea de întrebări și rezolvarea problemelor, modelarea, prototiparea, comunicare în echipă, colaborare, gestionarea proiectelor, creativitate, inovație.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22" w:hRule="atLeast"/>
          <w:tblHeader w:val="0"/>
        </w:trPr>
        <w:tc>
          <w:tcPr>
            <w:tcMar>
              <w:top w:w="100.0" w:type="dxa"/>
              <w:left w:w="100.0" w:type="dxa"/>
              <w:bottom w:w="100.0" w:type="dxa"/>
              <w:right w:w="100.0" w:type="dxa"/>
            </w:tcMar>
          </w:tcPr>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Descrierea didactică:</w:t>
            </w:r>
          </w:p>
        </w:tc>
        <w:tc>
          <w:tcPr>
            <w:tcMar>
              <w:top w:w="100.0" w:type="dxa"/>
              <w:left w:w="100.0" w:type="dxa"/>
              <w:bottom w:w="100.0" w:type="dxa"/>
              <w:right w:w="100.0" w:type="dxa"/>
            </w:tcMar>
          </w:tcPr>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LEGO WeDo este o platformă hardware și software de robotică concepută</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4"/>
                <w:szCs w:val="24"/>
                <w:rtl w:val="0"/>
              </w:rPr>
              <w:t xml:space="preserve">pentru a introduce concepte de știință, tehnologie, inginerie și matematică (STEM) într-un mod interactiv și distractiv pentru elevi. Kit-ul permite elevilor să construiască modele simple și să le programeze folosind software-ul Lego WeDo 2.0.</w:t>
            </w:r>
            <w:r w:rsidDel="00000000" w:rsidR="00000000" w:rsidRPr="00000000">
              <w:rPr>
                <w:rFonts w:ascii="Times New Roman" w:cs="Times New Roman" w:eastAsia="Times New Roman" w:hAnsi="Times New Roman"/>
                <w:sz w:val="24"/>
                <w:szCs w:val="24"/>
                <w:highlight w:val="white"/>
                <w:rtl w:val="0"/>
              </w:rPr>
              <w:t xml:space="preserve"> Produsul urmează procesul celor 4C: </w:t>
            </w:r>
          </w:p>
          <w:p w:rsidR="00000000" w:rsidDel="00000000" w:rsidP="00000000" w:rsidRDefault="00000000" w:rsidRPr="00000000" w14:paraId="00000045">
            <w:pPr>
              <w:numPr>
                <w:ilvl w:val="0"/>
                <w:numId w:val="1"/>
              </w:numPr>
              <w:spacing w:line="276"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conexiunea</w:t>
            </w:r>
            <w:r w:rsidDel="00000000" w:rsidR="00000000" w:rsidRPr="00000000">
              <w:rPr>
                <w:rFonts w:ascii="Times New Roman" w:cs="Times New Roman" w:eastAsia="Times New Roman" w:hAnsi="Times New Roman"/>
                <w:sz w:val="24"/>
                <w:szCs w:val="24"/>
                <w:highlight w:val="white"/>
                <w:rtl w:val="0"/>
              </w:rPr>
              <w:t xml:space="preserve"> la o misiune; </w:t>
            </w:r>
          </w:p>
          <w:p w:rsidR="00000000" w:rsidDel="00000000" w:rsidP="00000000" w:rsidRDefault="00000000" w:rsidRPr="00000000" w14:paraId="00000046">
            <w:pPr>
              <w:numPr>
                <w:ilvl w:val="0"/>
                <w:numId w:val="2"/>
              </w:numPr>
              <w:spacing w:line="276"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construcția</w:t>
            </w:r>
            <w:r w:rsidDel="00000000" w:rsidR="00000000" w:rsidRPr="00000000">
              <w:rPr>
                <w:rFonts w:ascii="Times New Roman" w:cs="Times New Roman" w:eastAsia="Times New Roman" w:hAnsi="Times New Roman"/>
                <w:sz w:val="24"/>
                <w:szCs w:val="24"/>
                <w:highlight w:val="white"/>
                <w:rtl w:val="0"/>
              </w:rPr>
              <w:t xml:space="preserve"> unui model;</w:t>
            </w:r>
          </w:p>
          <w:p w:rsidR="00000000" w:rsidDel="00000000" w:rsidP="00000000" w:rsidRDefault="00000000" w:rsidRPr="00000000" w14:paraId="00000047">
            <w:pPr>
              <w:numPr>
                <w:ilvl w:val="0"/>
                <w:numId w:val="2"/>
              </w:numPr>
              <w:spacing w:line="276"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contemplația</w:t>
            </w:r>
            <w:r w:rsidDel="00000000" w:rsidR="00000000" w:rsidRPr="00000000">
              <w:rPr>
                <w:rFonts w:ascii="Times New Roman" w:cs="Times New Roman" w:eastAsia="Times New Roman" w:hAnsi="Times New Roman"/>
                <w:sz w:val="24"/>
                <w:szCs w:val="24"/>
                <w:highlight w:val="white"/>
                <w:rtl w:val="0"/>
              </w:rPr>
              <w:t xml:space="preserve"> asupra funcției acestui model; </w:t>
            </w:r>
          </w:p>
          <w:p w:rsidR="00000000" w:rsidDel="00000000" w:rsidP="00000000" w:rsidRDefault="00000000" w:rsidRPr="00000000" w14:paraId="00000048">
            <w:pPr>
              <w:numPr>
                <w:ilvl w:val="0"/>
                <w:numId w:val="2"/>
              </w:numPr>
              <w:spacing w:line="276"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continuarea</w:t>
            </w:r>
            <w:r w:rsidDel="00000000" w:rsidR="00000000" w:rsidRPr="00000000">
              <w:rPr>
                <w:rFonts w:ascii="Times New Roman" w:cs="Times New Roman" w:eastAsia="Times New Roman" w:hAnsi="Times New Roman"/>
                <w:sz w:val="24"/>
                <w:szCs w:val="24"/>
                <w:highlight w:val="white"/>
                <w:rtl w:val="0"/>
              </w:rPr>
              <w:t xml:space="preserve"> îmbunătățirii designului acestui model.</w:t>
            </w:r>
          </w:p>
          <w:p w:rsidR="00000000" w:rsidDel="00000000" w:rsidP="00000000" w:rsidRDefault="00000000" w:rsidRPr="00000000" w14:paraId="000000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 urma schimbărilor din educație, a apărut utilizarea educațională a roboților și a fost văzută ca oprtunitate de a fi folosită în diverse discipline. Utilizarea  într-un număr tot mai mare a roboților în educație a condus la o creștere a interesului elevilor pentru știință și tehnologie. Din acest motiv roboții sunt folosiți în mai multe domenii, cum ar fi medicina, divertisment, militărie, industrie, competiții și cercetare spațială. Educația a devenit și ea una dintre domeniile de utilizare a roboților.</w:t>
            </w: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Elevii explorează utilizarea senzorilor incluși în Lego WeDo 2.0 pentru a detecta și răspunde la schimbări în mediul lor, stimulând înțelegerea feedback-ului senzorial.</w:t>
            </w:r>
          </w:p>
          <w:p w:rsidR="00000000" w:rsidDel="00000000" w:rsidP="00000000" w:rsidRDefault="00000000" w:rsidRPr="00000000" w14:paraId="0000004C">
            <w:pPr>
              <w:pBdr>
                <w:top w:color="d9d9e3" w:space="0" w:sz="0" w:val="none"/>
                <w:left w:color="d9d9e3" w:space="0" w:sz="0" w:val="none"/>
                <w:bottom w:color="d9d9e3" w:space="0" w:sz="0" w:val="none"/>
                <w:right w:color="d9d9e3" w:space="0" w:sz="0" w:val="none"/>
                <w:between w:color="d9d9e3" w:space="0" w:sz="0" w:val="none"/>
              </w:pBdr>
              <w:spacing w:after="300" w:line="276"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Prin construirea și programarea modelelor Lego WeDo 2.0, elevii sunt expuși la provocări care necesită abilități de rezolvare a problemelor și adaptabilitate.</w:t>
            </w:r>
            <w:r w:rsidDel="00000000" w:rsidR="00000000" w:rsidRPr="00000000">
              <w:rPr>
                <w:rtl w:val="0"/>
              </w:rPr>
            </w:r>
          </w:p>
        </w:tc>
      </w:tr>
      <w:tr>
        <w:trPr>
          <w:cantSplit w:val="0"/>
          <w:trHeight w:val="525" w:hRule="atLeast"/>
          <w:tblHeader w:val="0"/>
        </w:trPr>
        <w:tc>
          <w:tcPr>
            <w:tcMar>
              <w:top w:w="100.0" w:type="dxa"/>
              <w:left w:w="100.0" w:type="dxa"/>
              <w:bottom w:w="100.0" w:type="dxa"/>
              <w:right w:w="100.0" w:type="dxa"/>
            </w:tcMar>
          </w:tcPr>
          <w:p w:rsidR="00000000" w:rsidDel="00000000" w:rsidP="00000000" w:rsidRDefault="00000000" w:rsidRPr="00000000" w14:paraId="000000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Softul necesar:</w:t>
            </w:r>
          </w:p>
          <w:p w:rsidR="00000000" w:rsidDel="00000000" w:rsidP="00000000" w:rsidRDefault="00000000" w:rsidRPr="00000000" w14:paraId="0000004E">
            <w:pPr>
              <w:spacing w:line="276"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190500</wp:posOffset>
                  </wp:positionV>
                  <wp:extent cx="268178" cy="199414"/>
                  <wp:effectExtent b="0" l="0" r="0" t="0"/>
                  <wp:wrapNone/>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68178" cy="199414"/>
                          </a:xfrm>
                          <a:prstGeom prst="rect"/>
                          <a:ln/>
                        </pic:spPr>
                      </pic:pic>
                    </a:graphicData>
                  </a:graphic>
                </wp:anchor>
              </w:drawing>
            </w:r>
          </w:p>
          <w:p w:rsidR="00000000" w:rsidDel="00000000" w:rsidP="00000000" w:rsidRDefault="00000000" w:rsidRPr="00000000" w14:paraId="000000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asociate: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390525</wp:posOffset>
                  </wp:positionV>
                  <wp:extent cx="268178" cy="199414"/>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68178" cy="19941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188993</wp:posOffset>
                  </wp:positionV>
                  <wp:extent cx="268178" cy="199414"/>
                  <wp:effectExtent b="0" l="0" r="0" t="0"/>
                  <wp:wrapNone/>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68178" cy="199414"/>
                          </a:xfrm>
                          <a:prstGeom prst="rect"/>
                          <a:ln/>
                        </pic:spPr>
                      </pic:pic>
                    </a:graphicData>
                  </a:graphic>
                </wp:anchor>
              </w:drawing>
            </w:r>
          </w:p>
        </w:tc>
        <w:tc>
          <w:tcPr>
            <w:tcMar>
              <w:top w:w="100.0" w:type="dxa"/>
              <w:left w:w="100.0" w:type="dxa"/>
              <w:bottom w:w="100.0" w:type="dxa"/>
              <w:right w:w="100.0" w:type="dxa"/>
            </w:tcMar>
          </w:tcPr>
          <w:p w:rsidR="00000000" w:rsidDel="00000000" w:rsidP="00000000" w:rsidRDefault="00000000" w:rsidRPr="00000000" w14:paraId="00000050">
            <w:pPr>
              <w:spacing w:line="276" w:lineRule="auto"/>
              <w:rPr>
                <w:rFonts w:ascii="Times New Roman" w:cs="Times New Roman" w:eastAsia="Times New Roman" w:hAnsi="Times New Roman"/>
                <w:b w:val="1"/>
                <w:color w:val="1155cc"/>
                <w:sz w:val="24"/>
                <w:szCs w:val="24"/>
                <w:u w:val="single"/>
              </w:rPr>
            </w:pPr>
            <w:hyperlink r:id="rId11">
              <w:r w:rsidDel="00000000" w:rsidR="00000000" w:rsidRPr="00000000">
                <w:rPr>
                  <w:rFonts w:ascii="Times New Roman" w:cs="Times New Roman" w:eastAsia="Times New Roman" w:hAnsi="Times New Roman"/>
                  <w:b w:val="1"/>
                  <w:color w:val="1155cc"/>
                  <w:sz w:val="24"/>
                  <w:szCs w:val="24"/>
                  <w:u w:val="single"/>
                  <w:rtl w:val="0"/>
                </w:rPr>
                <w:t xml:space="preserve">LEGO® WeDo® 2.0</w:t>
              </w:r>
            </w:hyperlink>
            <w:r w:rsidDel="00000000" w:rsidR="00000000" w:rsidRPr="00000000">
              <w:rPr>
                <w:rtl w:val="0"/>
              </w:rPr>
            </w:r>
          </w:p>
          <w:p w:rsidR="00000000" w:rsidDel="00000000" w:rsidP="00000000" w:rsidRDefault="00000000" w:rsidRPr="00000000" w14:paraId="00000051">
            <w:pPr>
              <w:spacing w:line="276" w:lineRule="auto"/>
              <w:rPr>
                <w:rFonts w:ascii="Times New Roman" w:cs="Times New Roman" w:eastAsia="Times New Roman" w:hAnsi="Times New Roman"/>
                <w:b w:val="1"/>
                <w:color w:val="1155cc"/>
                <w:sz w:val="24"/>
                <w:szCs w:val="24"/>
                <w:u w:val="single"/>
              </w:rPr>
            </w:pPr>
            <w:r w:rsidDel="00000000" w:rsidR="00000000" w:rsidRPr="00000000">
              <w:rPr>
                <w:rtl w:val="0"/>
              </w:rPr>
            </w:r>
          </w:p>
          <w:p w:rsidR="00000000" w:rsidDel="00000000" w:rsidP="00000000" w:rsidRDefault="00000000" w:rsidRPr="00000000" w14:paraId="00000052">
            <w:pPr>
              <w:spacing w:line="276" w:lineRule="auto"/>
              <w:rPr>
                <w:rFonts w:ascii="Times New Roman" w:cs="Times New Roman" w:eastAsia="Times New Roman" w:hAnsi="Times New Roman"/>
                <w:color w:val="0070c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1476375</wp:posOffset>
                  </wp:positionH>
                  <wp:positionV relativeFrom="paragraph">
                    <wp:posOffset>190500</wp:posOffset>
                  </wp:positionV>
                  <wp:extent cx="268178" cy="199414"/>
                  <wp:effectExtent b="0" l="0" r="0" t="0"/>
                  <wp:wrapNone/>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68178" cy="199414"/>
                          </a:xfrm>
                          <a:prstGeom prst="rect"/>
                          <a:ln/>
                        </pic:spPr>
                      </pic:pic>
                    </a:graphicData>
                  </a:graphic>
                </wp:anchor>
              </w:drawing>
            </w:r>
          </w:p>
          <w:p w:rsidR="00000000" w:rsidDel="00000000" w:rsidP="00000000" w:rsidRDefault="00000000" w:rsidRPr="00000000" w14:paraId="0000005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Matematică                        Robotică</w:t>
            </w:r>
            <w:r w:rsidDel="00000000" w:rsidR="00000000" w:rsidRPr="00000000">
              <w:drawing>
                <wp:anchor allowOverlap="1" behindDoc="0" distB="114300" distT="114300" distL="114300" distR="114300" hidden="0" layoutInCell="1" locked="0" relativeHeight="0" simplePos="0">
                  <wp:simplePos x="0" y="0"/>
                  <wp:positionH relativeFrom="column">
                    <wp:posOffset>1476375</wp:posOffset>
                  </wp:positionH>
                  <wp:positionV relativeFrom="paragraph">
                    <wp:posOffset>190500</wp:posOffset>
                  </wp:positionV>
                  <wp:extent cx="266700" cy="200025"/>
                  <wp:effectExtent b="0" l="0" r="0" t="0"/>
                  <wp:wrapNone/>
                  <wp:docPr id="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66700" cy="200025"/>
                          </a:xfrm>
                          <a:prstGeom prst="rect"/>
                          <a:ln/>
                        </pic:spPr>
                      </pic:pic>
                    </a:graphicData>
                  </a:graphic>
                </wp:anchor>
              </w:drawing>
            </w:r>
          </w:p>
          <w:p w:rsidR="00000000" w:rsidDel="00000000" w:rsidP="00000000" w:rsidRDefault="00000000" w:rsidRPr="00000000" w14:paraId="0000005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Fizică                                Educație tehnologică</w:t>
            </w:r>
            <w:r w:rsidDel="00000000" w:rsidR="00000000" w:rsidRPr="00000000">
              <w:drawing>
                <wp:anchor allowOverlap="1" behindDoc="0" distB="114300" distT="114300" distL="114300" distR="114300" hidden="0" layoutInCell="1" locked="0" relativeHeight="0" simplePos="0">
                  <wp:simplePos x="0" y="0"/>
                  <wp:positionH relativeFrom="column">
                    <wp:posOffset>1476375</wp:posOffset>
                  </wp:positionH>
                  <wp:positionV relativeFrom="paragraph">
                    <wp:posOffset>188993</wp:posOffset>
                  </wp:positionV>
                  <wp:extent cx="268178" cy="199414"/>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68178" cy="199414"/>
                          </a:xfrm>
                          <a:prstGeom prst="rect"/>
                          <a:ln/>
                        </pic:spPr>
                      </pic:pic>
                    </a:graphicData>
                  </a:graphic>
                </wp:anchor>
              </w:drawing>
            </w:r>
          </w:p>
          <w:p w:rsidR="00000000" w:rsidDel="00000000" w:rsidP="00000000" w:rsidRDefault="00000000" w:rsidRPr="00000000" w14:paraId="0000005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Informatică              Științe </w:t>
            </w:r>
          </w:p>
          <w:p w:rsidR="00000000" w:rsidDel="00000000" w:rsidP="00000000" w:rsidRDefault="00000000" w:rsidRPr="00000000" w14:paraId="00000056">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7">
      <w:pPr>
        <w:pStyle w:val="Heading3"/>
        <w:spacing w:after="120" w:before="400" w:line="276" w:lineRule="auto"/>
        <w:jc w:val="center"/>
        <w:rPr/>
      </w:pPr>
      <w:bookmarkStart w:colFirst="0" w:colLast="0" w:name="_anh4wf29gfr5" w:id="2"/>
      <w:bookmarkEnd w:id="2"/>
      <w:r w:rsidDel="00000000" w:rsidR="00000000" w:rsidRPr="00000000">
        <w:rPr>
          <w:rtl w:val="0"/>
        </w:rPr>
      </w:r>
    </w:p>
    <w:sectPr>
      <w:headerReference r:id="rId12"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sz w:val="14"/>
        <w:szCs w:val="14"/>
        <w:rtl w:val="0"/>
      </w:rPr>
      <w:t xml:space="preserve">Tehnologii din cadrul centrului național de inovare digitală în educație „clasa viitorului”</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4448175</wp:posOffset>
          </wp:positionH>
          <wp:positionV relativeFrom="paragraph">
            <wp:posOffset>-175349</wp:posOffset>
          </wp:positionV>
          <wp:extent cx="1285012" cy="441417"/>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012" cy="4414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ducation.lego.com/en-us/downloads/wedo-2/software" TargetMode="External"/><Relationship Id="rId10" Type="http://schemas.openxmlformats.org/officeDocument/2006/relationships/image" Target="media/image2.png"/><Relationship Id="rId12" Type="http://schemas.openxmlformats.org/officeDocument/2006/relationships/header" Target="header1.xml"/><Relationship Id="rId9" Type="http://schemas.openxmlformats.org/officeDocument/2006/relationships/hyperlink" Target="https://education.lego.com/en-us/lessons?Products=LEGO%20Education%20WeDo%202.0%20Core%20Set&amp;pagesize=12"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www.youtube.com/watch?v=CsWSDOoxouM&amp;t=17s" TargetMode="External"/><Relationship Id="rId8" Type="http://schemas.openxmlformats.org/officeDocument/2006/relationships/hyperlink" Target="https://education.lego.com/en-us/lessons?Products=LEGO%20Education%20WeDo%202.0%20Core%20Set&amp;pagesize=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